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eastAsia="宋体"/>
          <w:b/>
          <w:sz w:val="28"/>
          <w:szCs w:val="28"/>
          <w:lang w:val="en-US" w:eastAsia="zh-CN"/>
        </w:rPr>
        <w:t>9bis</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R3-25</w:t>
      </w:r>
      <w:r>
        <w:rPr>
          <w:rFonts w:hint="eastAsia" w:eastAsia="宋体"/>
          <w:b/>
          <w:sz w:val="28"/>
          <w:szCs w:val="28"/>
          <w:lang w:val="en-US" w:eastAsia="zh-CN"/>
        </w:rPr>
        <w:t>6775</w:t>
      </w:r>
      <w:r>
        <w:rPr>
          <w:rFonts w:ascii="Times New Roman" w:hAnsi="Times New Roman" w:eastAsia="宋体"/>
          <w:b/>
          <w:sz w:val="28"/>
          <w:szCs w:val="28"/>
          <w:lang w:eastAsia="en-GB"/>
        </w:rPr>
        <w:t xml:space="preserve">  </w:t>
      </w:r>
    </w:p>
    <w:p>
      <w:pPr>
        <w:pStyle w:val="90"/>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Prague, Czech Republic, 13 – 17 October 2025</w:t>
      </w:r>
    </w:p>
    <w:p>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hint="eastAsia" w:ascii="Times New Roman" w:hAnsi="Times New Roman" w:eastAsia="宋体"/>
          <w:b/>
          <w:bCs/>
          <w:sz w:val="24"/>
          <w:lang w:val="en-US" w:eastAsia="zh-CN"/>
        </w:rPr>
        <w:t>1</w:t>
      </w:r>
      <w:r>
        <w:rPr>
          <w:rFonts w:ascii="Times New Roman" w:hAnsi="Times New Roman"/>
          <w:b/>
          <w:bCs/>
          <w:sz w:val="24"/>
          <w:lang w:val="pt-PT"/>
        </w:rPr>
        <w:t>.2</w:t>
      </w:r>
      <w:r>
        <w:rPr>
          <w:rFonts w:hint="eastAsia" w:ascii="Times New Roman" w:hAnsi="Times New Roman" w:eastAsia="宋体"/>
          <w:b/>
          <w:bCs/>
          <w:sz w:val="24"/>
          <w:lang w:val="en-US" w:eastAsia="zh-CN"/>
        </w:rPr>
        <w:t>.1</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rFonts w:hint="default" w:eastAsiaTheme="minorEastAsia"/>
          <w:b/>
          <w:bCs/>
          <w:sz w:val="32"/>
          <w:lang w:val="en-US"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r>
        <w:rPr>
          <w:rFonts w:hint="eastAsia"/>
          <w:b/>
          <w:bCs/>
          <w:sz w:val="24"/>
          <w:lang w:val="en-US" w:eastAsia="zh-CN"/>
        </w:rPr>
        <w:t>for inter-CU LTM</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3"/>
      </w:pPr>
      <w:r>
        <w:t>1</w:t>
      </w:r>
      <w:r>
        <w:tab/>
      </w:r>
      <w:r>
        <w:t>Introduction</w:t>
      </w:r>
    </w:p>
    <w:p>
      <w:pPr>
        <w:spacing w:after="0"/>
        <w:rPr>
          <w:sz w:val="21"/>
          <w:szCs w:val="21"/>
        </w:rPr>
      </w:pPr>
      <w:r>
        <w:rPr>
          <w:sz w:val="21"/>
          <w:szCs w:val="21"/>
        </w:rPr>
        <w:t>At RAN#10</w:t>
      </w:r>
      <w:r>
        <w:rPr>
          <w:rFonts w:hint="eastAsia"/>
          <w:sz w:val="21"/>
          <w:szCs w:val="21"/>
          <w:lang w:val="en-US" w:eastAsia="zh-CN"/>
        </w:rPr>
        <w:t>8</w:t>
      </w:r>
      <w:r>
        <w:rPr>
          <w:sz w:val="21"/>
          <w:szCs w:val="21"/>
        </w:rPr>
        <w:t>, the new Work Item on</w:t>
      </w:r>
      <w:r>
        <w:rPr>
          <w:rFonts w:hint="eastAsia"/>
          <w:sz w:val="21"/>
          <w:szCs w:val="21"/>
          <w:lang w:val="en-US" w:eastAsia="zh-CN"/>
        </w:rPr>
        <w:t xml:space="preserve"> Data collection for SON (Self-Organising Networks)/MDT (Minimization of Drive Tests) in NR Phase 5</w:t>
      </w:r>
      <w:r>
        <w:rPr>
          <w:sz w:val="21"/>
          <w:szCs w:val="21"/>
          <w:lang w:val="en-US" w:eastAsia="zh-CN"/>
        </w:rPr>
        <w:t xml:space="preserve"> </w:t>
      </w:r>
      <w:r>
        <w:rPr>
          <w:sz w:val="21"/>
          <w:szCs w:val="21"/>
        </w:rPr>
        <w:t xml:space="preserve">was agreed </w:t>
      </w:r>
      <w:r>
        <w:rPr>
          <w:rFonts w:hint="eastAsia"/>
          <w:sz w:val="21"/>
          <w:szCs w:val="21"/>
          <w:lang w:val="en-US" w:eastAsia="zh-CN"/>
        </w:rPr>
        <w:t>and the WID was revised at RAN#109 in</w:t>
      </w:r>
      <w:r>
        <w:rPr>
          <w:sz w:val="21"/>
          <w:szCs w:val="21"/>
        </w:rPr>
        <w:t>[1] introduc</w:t>
      </w:r>
      <w:r>
        <w:rPr>
          <w:rFonts w:hint="eastAsia"/>
          <w:sz w:val="21"/>
          <w:szCs w:val="21"/>
          <w:lang w:val="en-US" w:eastAsia="zh-CN"/>
        </w:rPr>
        <w:t>ing</w:t>
      </w:r>
      <w:r>
        <w:rPr>
          <w:sz w:val="21"/>
          <w:szCs w:val="21"/>
        </w:rPr>
        <w:t xml:space="preserve"> the following objectives in the core part: </w:t>
      </w:r>
    </w:p>
    <w:p>
      <w:pPr>
        <w:spacing w:after="0"/>
        <w:rPr>
          <w:sz w:val="21"/>
          <w:szCs w:val="21"/>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1"/>
                <w:szCs w:val="21"/>
              </w:rPr>
            </w:pPr>
            <w:bookmarkStart w:id="0" w:name="OLE_LINK35"/>
            <w:r>
              <w:rPr>
                <w:rFonts w:eastAsia="宋体"/>
                <w:sz w:val="21"/>
                <w:szCs w:val="21"/>
              </w:rPr>
              <w:t xml:space="preserve">The objective of this work item is to specify </w:t>
            </w:r>
            <w:r>
              <w:rPr>
                <w:rFonts w:hint="eastAsia" w:eastAsia="宋体"/>
                <w:sz w:val="21"/>
                <w:szCs w:val="21"/>
              </w:rPr>
              <w:t xml:space="preserve">data collection enhancement in NR </w:t>
            </w:r>
            <w:r>
              <w:rPr>
                <w:rFonts w:eastAsia="宋体"/>
                <w:sz w:val="21"/>
                <w:szCs w:val="21"/>
              </w:rPr>
              <w:t>standalone for SON/MDT purpose</w:t>
            </w:r>
            <w:r>
              <w:rPr>
                <w:rFonts w:hint="eastAsia" w:eastAsia="宋体"/>
                <w:sz w:val="21"/>
                <w:szCs w:val="21"/>
              </w:rPr>
              <w:t xml:space="preserve">. </w:t>
            </w:r>
            <w:r>
              <w:rPr>
                <w:rFonts w:eastAsia="宋体"/>
                <w:sz w:val="21"/>
                <w:szCs w:val="21"/>
              </w:rPr>
              <w:t>The specific objectives of this work item are:</w:t>
            </w:r>
          </w:p>
          <w:p>
            <w:pPr>
              <w:spacing w:before="120" w:line="280" w:lineRule="atLeast"/>
              <w:rPr>
                <w:rFonts w:eastAsia="宋体"/>
                <w:sz w:val="21"/>
                <w:szCs w:val="21"/>
              </w:rPr>
            </w:pPr>
            <w:bookmarkStart w:id="1" w:name="OLE_LINK17"/>
            <w:bookmarkStart w:id="2" w:name="OLE_LINK31"/>
            <w:r>
              <w:rPr>
                <w:rFonts w:eastAsia="宋体"/>
                <w:sz w:val="21"/>
                <w:szCs w:val="21"/>
              </w:rPr>
              <w:t>- MRO enhancement for R1</w:t>
            </w:r>
            <w:r>
              <w:rPr>
                <w:rFonts w:hint="eastAsia" w:eastAsia="宋体"/>
                <w:sz w:val="21"/>
                <w:szCs w:val="21"/>
              </w:rPr>
              <w:t>9</w:t>
            </w:r>
            <w:r>
              <w:rPr>
                <w:rFonts w:eastAsia="宋体"/>
                <w:sz w:val="21"/>
                <w:szCs w:val="21"/>
              </w:rPr>
              <w:t xml:space="preserve"> mobility mechanisms, including</w:t>
            </w:r>
            <w:r>
              <w:rPr>
                <w:rFonts w:hint="eastAsia"/>
                <w:sz w:val="21"/>
                <w:szCs w:val="21"/>
              </w:rPr>
              <w:t xml:space="preserve"> </w:t>
            </w:r>
            <w:r>
              <w:rPr>
                <w:rFonts w:hint="eastAsia" w:eastAsia="宋体"/>
                <w:sz w:val="21"/>
                <w:szCs w:val="21"/>
              </w:rPr>
              <w:t>inter-CU LTM and intra-CU conditional LTM</w:t>
            </w:r>
            <w:r>
              <w:rPr>
                <w:rFonts w:eastAsia="宋体"/>
                <w:sz w:val="21"/>
                <w:szCs w:val="21"/>
              </w:rPr>
              <w:t xml:space="preserve"> [RAN3, RAN2]:</w:t>
            </w:r>
          </w:p>
          <w:p>
            <w:pPr>
              <w:pStyle w:val="73"/>
              <w:numPr>
                <w:ilvl w:val="0"/>
                <w:numId w:val="4"/>
              </w:numPr>
              <w:spacing w:before="120" w:line="280" w:lineRule="atLeast"/>
              <w:rPr>
                <w:rFonts w:ascii="Times New Roman" w:hAnsi="Times New Roman" w:eastAsia="宋体" w:cs="Times New Roman"/>
                <w:sz w:val="21"/>
                <w:szCs w:val="21"/>
              </w:rPr>
            </w:pPr>
            <w:r>
              <w:rPr>
                <w:rFonts w:ascii="Times New Roman" w:hAnsi="Times New Roman" w:eastAsia="宋体" w:cs="Times New Roman"/>
                <w:sz w:val="21"/>
                <w:szCs w:val="21"/>
              </w:rPr>
              <w:t xml:space="preserve">Specification of the inter-node information exchange, including possible enhancements </w:t>
            </w:r>
            <w:r>
              <w:rPr>
                <w:rFonts w:hint="eastAsia" w:ascii="Times New Roman" w:hAnsi="Times New Roman" w:eastAsia="宋体" w:cs="Times New Roman"/>
                <w:sz w:val="21"/>
                <w:szCs w:val="21"/>
              </w:rPr>
              <w:t>on the existing</w:t>
            </w:r>
            <w:r>
              <w:rPr>
                <w:rFonts w:ascii="Times New Roman" w:hAnsi="Times New Roman" w:eastAsia="宋体" w:cs="Times New Roman"/>
                <w:sz w:val="21"/>
                <w:szCs w:val="21"/>
              </w:rPr>
              <w:t xml:space="preserve"> interfaces [RAN3]</w:t>
            </w:r>
          </w:p>
          <w:p>
            <w:pPr>
              <w:pStyle w:val="73"/>
              <w:numPr>
                <w:ilvl w:val="0"/>
                <w:numId w:val="4"/>
              </w:numPr>
              <w:spacing w:before="120" w:line="280" w:lineRule="atLeast"/>
              <w:rPr>
                <w:rFonts w:ascii="Times New Roman" w:hAnsi="Times New Roman" w:eastAsia="宋体" w:cs="Times New Roman"/>
                <w:sz w:val="21"/>
                <w:szCs w:val="21"/>
              </w:rPr>
            </w:pPr>
            <w:r>
              <w:rPr>
                <w:rFonts w:hint="eastAsia" w:ascii="Times New Roman" w:hAnsi="Times New Roman" w:eastAsia="宋体" w:cs="Times New Roman"/>
                <w:sz w:val="21"/>
                <w:szCs w:val="21"/>
              </w:rPr>
              <w:t>Identify and specify necessary UE reporting to enhance the mobility parameter tuning</w:t>
            </w:r>
            <w:r>
              <w:rPr>
                <w:rFonts w:ascii="Times New Roman" w:hAnsi="Times New Roman" w:eastAsia="宋体" w:cs="Times New Roman"/>
                <w:sz w:val="21"/>
                <w:szCs w:val="21"/>
              </w:rPr>
              <w:t> [RAN2]</w:t>
            </w:r>
          </w:p>
          <w:bookmarkEnd w:id="1"/>
          <w:bookmarkEnd w:id="2"/>
          <w:p>
            <w:pPr>
              <w:spacing w:before="120" w:line="280" w:lineRule="atLeast"/>
              <w:rPr>
                <w:rFonts w:eastAsia="宋体"/>
                <w:sz w:val="21"/>
                <w:szCs w:val="21"/>
              </w:rPr>
            </w:pPr>
            <w:r>
              <w:rPr>
                <w:rFonts w:eastAsia="宋体"/>
                <w:sz w:val="21"/>
                <w:szCs w:val="21"/>
              </w:rPr>
              <w:t>If needed, co-operate with RAN1, SA5.</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w:t>
      </w:r>
      <w:r>
        <w:rPr>
          <w:rFonts w:hint="eastAsia"/>
          <w:sz w:val="22"/>
          <w:lang w:val="en-US" w:eastAsia="zh-CN"/>
        </w:rPr>
        <w:t>20</w:t>
      </w:r>
      <w:r>
        <w:rPr>
          <w:sz w:val="22"/>
          <w:lang w:eastAsia="zh-CN"/>
        </w:rPr>
        <w:t>.</w:t>
      </w:r>
    </w:p>
    <w:p>
      <w:pPr>
        <w:spacing w:after="0"/>
      </w:pPr>
    </w:p>
    <w:p>
      <w:pPr>
        <w:pStyle w:val="3"/>
      </w:pPr>
      <w:r>
        <w:t>2</w:t>
      </w:r>
      <w:r>
        <w:tab/>
      </w:r>
      <w:r>
        <w:t>Discussion</w:t>
      </w:r>
    </w:p>
    <w:p>
      <w:pPr>
        <w:pStyle w:val="4"/>
      </w:pPr>
      <w:r>
        <w:t>2.1</w:t>
      </w:r>
      <w:r>
        <w:tab/>
      </w:r>
      <w:r>
        <w:rPr>
          <w:rFonts w:hint="eastAsia"/>
          <w:lang w:val="en-US" w:eastAsia="zh-CN"/>
        </w:rPr>
        <w:t xml:space="preserve">MRO for inter-CU </w:t>
      </w:r>
      <w:r>
        <w:t>LTM</w:t>
      </w:r>
    </w:p>
    <w:p>
      <w:pPr>
        <w:spacing w:after="0"/>
        <w:rPr>
          <w:sz w:val="22"/>
          <w:lang w:val="en-US" w:eastAsia="zh-CN"/>
        </w:rPr>
      </w:pPr>
    </w:p>
    <w:p>
      <w:pPr>
        <w:tabs>
          <w:tab w:val="left" w:pos="420"/>
          <w:tab w:val="left" w:pos="1619"/>
        </w:tabs>
        <w:spacing w:before="60" w:after="0"/>
        <w:rPr>
          <w:rFonts w:hint="eastAsia"/>
          <w:sz w:val="22"/>
          <w:lang w:val="en-US" w:eastAsia="zh-CN"/>
        </w:rPr>
      </w:pPr>
      <w:r>
        <w:rPr>
          <w:rFonts w:hint="eastAsia"/>
          <w:sz w:val="22"/>
          <w:lang w:val="en-US" w:eastAsia="zh-CN"/>
        </w:rPr>
        <w:t>In Rel-19, inter-gNB(e.g.inter-CU) LTM is supported with s</w:t>
      </w:r>
      <w:r>
        <w:t>ignalling procedure</w:t>
      </w:r>
      <w:r>
        <w:rPr>
          <w:rFonts w:hint="eastAsia"/>
          <w:lang w:val="en-US" w:eastAsia="zh-CN"/>
        </w:rPr>
        <w:t xml:space="preserve"> shown below</w:t>
      </w:r>
      <w:r>
        <w:rPr>
          <w:rFonts w:hint="eastAsia"/>
          <w:sz w:val="22"/>
          <w:lang w:val="en-US" w:eastAsia="zh-CN"/>
        </w:rPr>
        <w:t xml:space="preserve">. </w:t>
      </w:r>
    </w:p>
    <w:p>
      <w:pPr>
        <w:pStyle w:val="2"/>
        <w:rPr>
          <w:rFonts w:hint="eastAsia"/>
          <w:lang w:val="en-US" w:eastAsia="zh-CN"/>
        </w:rPr>
      </w:pPr>
      <w:r>
        <w:drawing>
          <wp:inline distT="0" distB="0" distL="0" distR="0">
            <wp:extent cx="5983605" cy="6858000"/>
            <wp:effectExtent l="0" t="0" r="5715" b="0"/>
            <wp:doc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s:3a.LTM configuration preparation for intra-gNB candidates [br];~ns-~gt:3. HANDOVER REQUEST [ac];~n//s-~gt [ad];~ns-~gt1:3. HANDOVER REQUEST [ac];~n//s-~gt1 [ad];~nt--t:4. Admission Control [bs];~nt1--t1:4. Admission Control [bs];~n//t0-~gs:5. UE CONTEXT MODIFICATION\nRESPONSE [ac];~nt-~gs:5. HANDOVER REQUEST\nACKNOWLEDGE [ac];~n//t-~gs[ad];~nt1-~gs:5. HANDOVER REQUEST ACKNOWLEDGE [ac];~n//t1-~gs[ad];~ns--s:6a.LTM configuration update for intra-gNB candidates [br];~n//s-~gt0:6. LTM CONFIGURATION UPDATE [ac];~ns~g~gt:6. LTM CONFIGURATION UPDATE [ac];~n//s-~gt [ad];~ns~g~gt1:6. LTM CONFIGURATION UPDATE [ac];~n//s-~gt1 [ad];~n~n//t0-~gs:7. LTM CONFIGURATION UPDATE ACKNOWLEDGE [ac];~nt~g~gs:7. LTM CONFIGURATION UPDATE ACKNOWLEDGE [ac];~n//t-~gs[ad];~nt1~g~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5"/>
                    <a:stretch>
                      <a:fillRect/>
                    </a:stretch>
                  </pic:blipFill>
                  <pic:spPr>
                    <a:xfrm>
                      <a:off x="0" y="0"/>
                      <a:ext cx="5983986" cy="6858000"/>
                    </a:xfrm>
                    <a:prstGeom prst="rect">
                      <a:avLst/>
                    </a:prstGeom>
                  </pic:spPr>
                </pic:pic>
              </a:graphicData>
            </a:graphic>
          </wp:inline>
        </w:drawing>
      </w:r>
    </w:p>
    <w:p>
      <w:pPr>
        <w:tabs>
          <w:tab w:val="left" w:pos="420"/>
          <w:tab w:val="left" w:pos="1619"/>
        </w:tabs>
        <w:spacing w:before="60" w:after="0"/>
        <w:rPr>
          <w:rFonts w:hint="eastAsia"/>
          <w:sz w:val="22"/>
          <w:lang w:val="en-US" w:eastAsia="zh-CN"/>
        </w:rPr>
      </w:pPr>
    </w:p>
    <w:p>
      <w:pPr>
        <w:rPr>
          <w:rFonts w:hint="default"/>
          <w:sz w:val="22"/>
          <w:szCs w:val="22"/>
          <w:lang w:val="en-US"/>
        </w:rPr>
      </w:pPr>
      <w:r>
        <w:rPr>
          <w:sz w:val="22"/>
          <w:szCs w:val="22"/>
        </w:rPr>
        <w:t>LTM</w:t>
      </w:r>
      <w:r>
        <w:rPr>
          <w:rFonts w:hint="eastAsia"/>
          <w:sz w:val="22"/>
          <w:szCs w:val="22"/>
          <w:lang w:val="en-US" w:eastAsia="zh-CN"/>
        </w:rPr>
        <w:t xml:space="preserve"> as a new mobility function </w:t>
      </w:r>
      <w:r>
        <w:rPr>
          <w:sz w:val="22"/>
          <w:szCs w:val="22"/>
        </w:rPr>
        <w:t>was introduced</w:t>
      </w:r>
      <w:r>
        <w:rPr>
          <w:rFonts w:hint="eastAsia"/>
          <w:sz w:val="22"/>
          <w:szCs w:val="22"/>
          <w:lang w:val="en-US" w:eastAsia="zh-CN"/>
        </w:rPr>
        <w:t xml:space="preserve"> in Rel-18 and MRO for intra-CU LTM was supported in Rel-19.</w:t>
      </w:r>
    </w:p>
    <w:p>
      <w:pPr>
        <w:rPr>
          <w:sz w:val="22"/>
          <w:szCs w:val="22"/>
        </w:rPr>
      </w:pPr>
      <w:r>
        <w:rPr>
          <w:rFonts w:hint="eastAsia"/>
          <w:sz w:val="22"/>
          <w:szCs w:val="22"/>
          <w:lang w:val="en-US" w:eastAsia="zh-CN"/>
        </w:rPr>
        <w:t xml:space="preserve">In Rel-19 </w:t>
      </w:r>
      <w:r>
        <w:rPr>
          <w:sz w:val="22"/>
          <w:szCs w:val="22"/>
        </w:rPr>
        <w:t xml:space="preserve">LTM supports intra-gNB mobility, and inter-gNB mobility. </w:t>
      </w:r>
    </w:p>
    <w:p>
      <w:pPr>
        <w:rPr>
          <w:sz w:val="22"/>
          <w:szCs w:val="22"/>
        </w:rPr>
      </w:pPr>
      <w:r>
        <w:rPr>
          <w:sz w:val="22"/>
          <w:szCs w:val="22"/>
        </w:rPr>
        <w:t>LTM supports both intra-frequency and inter-frequency mobility, including mobility to inter-frequency cell that is not a current serving cell. LTM is supported only for licensed spectrum. The following scenarios are supported:</w:t>
      </w:r>
    </w:p>
    <w:p>
      <w:pPr>
        <w:pStyle w:val="53"/>
        <w:rPr>
          <w:sz w:val="22"/>
          <w:szCs w:val="22"/>
        </w:rPr>
      </w:pPr>
      <w:r>
        <w:rPr>
          <w:rFonts w:eastAsia="PMingLiU"/>
          <w:sz w:val="22"/>
          <w:szCs w:val="22"/>
          <w:lang w:eastAsia="zh-TW"/>
        </w:rPr>
        <w:t>-</w:t>
      </w:r>
      <w:r>
        <w:rPr>
          <w:rFonts w:eastAsia="PMingLiU"/>
          <w:sz w:val="22"/>
          <w:szCs w:val="22"/>
          <w:lang w:eastAsia="zh-TW"/>
        </w:rPr>
        <w:tab/>
      </w:r>
      <w:r>
        <w:rPr>
          <w:sz w:val="22"/>
          <w:szCs w:val="22"/>
        </w:rPr>
        <w:t>PCell change in non-CA scenario and non-DC scenario;</w:t>
      </w:r>
    </w:p>
    <w:p>
      <w:pPr>
        <w:pStyle w:val="53"/>
        <w:rPr>
          <w:sz w:val="22"/>
          <w:szCs w:val="22"/>
        </w:rPr>
      </w:pPr>
      <w:r>
        <w:rPr>
          <w:sz w:val="22"/>
          <w:szCs w:val="22"/>
        </w:rPr>
        <w:t>-</w:t>
      </w:r>
      <w:r>
        <w:rPr>
          <w:sz w:val="22"/>
          <w:szCs w:val="22"/>
        </w:rPr>
        <w:tab/>
      </w:r>
      <w:r>
        <w:rPr>
          <w:sz w:val="22"/>
          <w:szCs w:val="22"/>
        </w:rPr>
        <w:t>PCell and SCell(s) change in CA scenario;</w:t>
      </w:r>
    </w:p>
    <w:p>
      <w:pPr>
        <w:pStyle w:val="53"/>
        <w:rPr>
          <w:sz w:val="22"/>
          <w:szCs w:val="22"/>
        </w:rPr>
      </w:pPr>
      <w:r>
        <w:rPr>
          <w:sz w:val="22"/>
          <w:szCs w:val="22"/>
        </w:rPr>
        <w:t>-</w:t>
      </w:r>
      <w:r>
        <w:rPr>
          <w:sz w:val="22"/>
          <w:szCs w:val="22"/>
        </w:rPr>
        <w:tab/>
      </w:r>
      <w:r>
        <w:rPr>
          <w:sz w:val="22"/>
          <w:szCs w:val="22"/>
        </w:rPr>
        <w:t xml:space="preserve">Dual connectivity scenarios: </w:t>
      </w:r>
    </w:p>
    <w:p>
      <w:pPr>
        <w:pStyle w:val="64"/>
        <w:rPr>
          <w:sz w:val="22"/>
          <w:szCs w:val="22"/>
        </w:rPr>
      </w:pPr>
      <w:r>
        <w:rPr>
          <w:sz w:val="22"/>
          <w:szCs w:val="22"/>
        </w:rPr>
        <w:t>-</w:t>
      </w:r>
      <w:r>
        <w:rPr>
          <w:sz w:val="22"/>
          <w:szCs w:val="22"/>
        </w:rPr>
        <w:tab/>
      </w:r>
      <w:r>
        <w:rPr>
          <w:sz w:val="22"/>
          <w:szCs w:val="22"/>
        </w:rPr>
        <w:t>PCell change together with MCG SCells(s) change and intra-SN PSCell change;</w:t>
      </w:r>
    </w:p>
    <w:p>
      <w:pPr>
        <w:pStyle w:val="64"/>
        <w:rPr>
          <w:sz w:val="22"/>
          <w:szCs w:val="22"/>
        </w:rPr>
      </w:pPr>
      <w:r>
        <w:rPr>
          <w:sz w:val="22"/>
          <w:szCs w:val="22"/>
        </w:rPr>
        <w:t>-</w:t>
      </w:r>
      <w:r>
        <w:rPr>
          <w:sz w:val="22"/>
          <w:szCs w:val="22"/>
        </w:rPr>
        <w:tab/>
      </w:r>
      <w:r>
        <w:rPr>
          <w:sz w:val="22"/>
          <w:szCs w:val="22"/>
        </w:rPr>
        <w:t>PSCell change together with SCG SCell(s) change with or without MN involvement.</w:t>
      </w:r>
    </w:p>
    <w:p>
      <w:pPr>
        <w:rPr>
          <w:rFonts w:hint="default" w:eastAsia="宋体"/>
          <w:b w:val="0"/>
          <w:bCs/>
          <w:sz w:val="22"/>
          <w:lang w:val="en-US" w:eastAsia="zh-CN" w:bidi="ar"/>
        </w:rPr>
      </w:pPr>
      <w:r>
        <w:rPr>
          <w:rFonts w:hint="eastAsia" w:eastAsia="宋体"/>
          <w:b w:val="0"/>
          <w:bCs/>
          <w:sz w:val="22"/>
          <w:lang w:val="en-US" w:eastAsia="zh-CN" w:bidi="ar"/>
        </w:rPr>
        <w:t>In Rel-19, MRO enhancements for intra-CU LTM supports to detect and optimize failure cases and near failure cases, which can be further considered in Rel-20.</w:t>
      </w:r>
    </w:p>
    <w:p>
      <w:pPr>
        <w:rPr>
          <w:rFonts w:hint="eastAsia" w:eastAsia="等线"/>
          <w:b/>
          <w:bCs/>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B</w:t>
      </w:r>
      <w:r>
        <w:rPr>
          <w:rFonts w:hint="eastAsia" w:eastAsia="等线"/>
          <w:b/>
          <w:bCs/>
          <w:sz w:val="22"/>
          <w:szCs w:val="22"/>
          <w:lang w:val="en-US" w:eastAsia="zh-CN"/>
        </w:rPr>
        <w:t>oth failure case and near failure case should be considered for MRO enhancements to inter-CU LTM</w:t>
      </w:r>
      <w:r>
        <w:rPr>
          <w:rFonts w:hint="eastAsia" w:eastAsia="等线"/>
          <w:b/>
          <w:bCs/>
          <w:sz w:val="24"/>
          <w:szCs w:val="24"/>
          <w:lang w:val="en-US" w:eastAsia="zh-CN"/>
        </w:rPr>
        <w:t>.</w:t>
      </w:r>
    </w:p>
    <w:p>
      <w:pPr>
        <w:rPr>
          <w:rFonts w:hint="eastAsia" w:eastAsia="等线"/>
          <w:b/>
          <w:bCs/>
          <w:sz w:val="22"/>
          <w:szCs w:val="22"/>
          <w:lang w:val="en-US" w:eastAsia="zh-CN"/>
        </w:rPr>
      </w:pPr>
    </w:p>
    <w:p>
      <w:pPr>
        <w:rPr>
          <w:rFonts w:hint="default" w:eastAsia="等线"/>
          <w:b w:val="0"/>
          <w:bCs w:val="0"/>
          <w:sz w:val="22"/>
          <w:szCs w:val="22"/>
          <w:lang w:val="en-US" w:eastAsia="zh-CN"/>
        </w:rPr>
      </w:pPr>
      <w:r>
        <w:rPr>
          <w:rFonts w:hint="eastAsia" w:eastAsia="等线"/>
          <w:sz w:val="22"/>
          <w:szCs w:val="22"/>
          <w:lang w:val="en-US" w:eastAsia="zh-CN"/>
        </w:rPr>
        <w:t xml:space="preserve">MRO for intra-CU LTM failure, we defined the failure cases of </w:t>
      </w:r>
      <w:r>
        <w:rPr>
          <w:rFonts w:hint="eastAsia" w:eastAsia="等线"/>
          <w:b w:val="0"/>
          <w:bCs w:val="0"/>
          <w:sz w:val="22"/>
          <w:szCs w:val="22"/>
          <w:lang w:val="en-US" w:eastAsia="zh-CN"/>
        </w:rPr>
        <w:t>Too Late LTM cell switch, Too Early LTM cell switch and LTM cell switch to Wrong Cell. The agreed LTM failure scenarios are listed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4"/>
              <w:ind w:left="58" w:leftChars="2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For too late LTM, the following sub-cases are considered but we may down prioritize later (not limiting):</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1a: the UE detects RLF in source cell after receiving LTM candidate configurations and performs reestablishment procedure.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1b: the UE detects RLF in source cell after receiving LTM candidate configurations, selects an LTM candidate cell, detects HOF with the selected LTM cell.</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1c: the UE detects RLF in source cell after receiving LTM candidate configurations, and successfully completes LTM execution with the selected LTM candidate cell.</w:t>
            </w:r>
          </w:p>
          <w:p>
            <w:pPr>
              <w:pStyle w:val="84"/>
              <w:ind w:left="58" w:leftChars="2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For too early LTM, the following sub-cases are considered but we may down prioritize later (not limiting):</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2a: the UE detects HOF/RLF in the LTM target cell and performs reestablishment procedure with the source cell.</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2b: the UE detects HOF/RLF in the LTM target cell, selects the source cell which is also an LTM candidate cell, detects HOF with the source cell, and performs reestablishment procedure.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2c: the UE detects HOF/RLF in the LTM target cell, and successfully completes LTM execution with the selected source cell which is also an LTM candidate cell.</w:t>
            </w:r>
          </w:p>
          <w:p>
            <w:pPr>
              <w:pStyle w:val="84"/>
              <w:tabs>
                <w:tab w:val="left" w:pos="1419"/>
              </w:tabs>
              <w:ind w:left="58" w:leftChars="2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LTM to wrong cell, the following sub-cases are considered but we may down prioritize later (not limiting):</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3a: the UE detects HOF/RLF in the LTM target cell and performs reestablishment procedure with the cell which is different from the source or target one.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3b: the UE detects HOF/RLF in the LTM target cell, selects an LTM candidate cell which is different from the source or target one, detects HOF with the selected LTM candidate cell, and performs reestablishment procedure.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3c: the UE detects HOF/RLF in the LTM target cell, and successfully completes LTM execution with the selected LTM candidate cell which is different from the source or target one.</w:t>
            </w:r>
          </w:p>
          <w:p>
            <w:pPr>
              <w:pStyle w:val="2"/>
              <w:rPr>
                <w:rFonts w:hint="eastAsia"/>
                <w:vertAlign w:val="baseline"/>
                <w:lang w:val="en-US" w:eastAsia="zh-CN"/>
              </w:rPr>
            </w:pPr>
          </w:p>
        </w:tc>
      </w:tr>
    </w:tbl>
    <w:p>
      <w:pPr>
        <w:pStyle w:val="2"/>
        <w:rPr>
          <w:rFonts w:hint="eastAsia"/>
          <w:lang w:val="en-US" w:eastAsia="zh-CN"/>
        </w:rPr>
      </w:pPr>
    </w:p>
    <w:p>
      <w:pPr>
        <w:pStyle w:val="2"/>
        <w:rPr>
          <w:rFonts w:hint="eastAsia" w:eastAsia="等线"/>
          <w:b w:val="0"/>
          <w:bCs w:val="0"/>
          <w:sz w:val="22"/>
          <w:szCs w:val="22"/>
          <w:lang w:val="en-US" w:eastAsia="zh-CN"/>
        </w:rPr>
      </w:pPr>
      <w:r>
        <w:rPr>
          <w:rFonts w:hint="eastAsia" w:eastAsia="等线"/>
          <w:b w:val="0"/>
          <w:bCs w:val="0"/>
          <w:sz w:val="22"/>
          <w:szCs w:val="22"/>
          <w:lang w:val="en-US" w:eastAsia="zh-CN"/>
        </w:rPr>
        <w:t>We can takes</w:t>
      </w:r>
      <w:bookmarkStart w:id="3" w:name="OLE_LINK1"/>
      <w:r>
        <w:rPr>
          <w:rFonts w:hint="eastAsia" w:eastAsia="等线"/>
          <w:b w:val="0"/>
          <w:bCs w:val="0"/>
          <w:sz w:val="22"/>
          <w:szCs w:val="22"/>
          <w:lang w:val="en-US" w:eastAsia="zh-CN"/>
        </w:rPr>
        <w:t xml:space="preserve"> Rel-19 MRO for LTM scenarios as baseline for further study on inter-CU LTM failure scenarios.</w:t>
      </w:r>
    </w:p>
    <w:bookmarkEnd w:id="3"/>
    <w:p>
      <w:pPr>
        <w:pStyle w:val="2"/>
        <w:rPr>
          <w:rFonts w:hint="eastAsia"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Rel-19 MRO for LTM scenarios can be considered as baseline for further study on inter-CU LTM failure scenarios.</w:t>
      </w:r>
    </w:p>
    <w:p>
      <w:pPr>
        <w:rPr>
          <w:rFonts w:hint="eastAsia"/>
          <w:lang w:val="en-US" w:eastAsia="zh-CN"/>
        </w:rPr>
      </w:pPr>
    </w:p>
    <w:p>
      <w:pPr>
        <w:rPr>
          <w:rFonts w:hint="default"/>
          <w:sz w:val="22"/>
          <w:szCs w:val="22"/>
          <w:lang w:val="en-US" w:eastAsia="zh-CN"/>
        </w:rPr>
      </w:pPr>
      <w:r>
        <w:rPr>
          <w:rFonts w:hint="eastAsia"/>
          <w:sz w:val="22"/>
          <w:szCs w:val="22"/>
          <w:lang w:val="en-US" w:eastAsia="zh-CN"/>
        </w:rPr>
        <w:t>The existing connection failure definition of LTM failure case can be further considered for inter-CU LTM.</w:t>
      </w:r>
    </w:p>
    <w:p>
      <w:pPr>
        <w:rPr>
          <w:rFonts w:hint="default" w:ascii="Times New Roman" w:hAnsi="Times New Roman" w:eastAsia="宋体" w:cs="Times New Roman"/>
          <w:b/>
          <w:sz w:val="22"/>
          <w:szCs w:val="20"/>
          <w:lang w:val="en-US" w:eastAsia="zh-CN" w:bidi="ar"/>
        </w:rPr>
      </w:pPr>
      <w:r>
        <w:rPr>
          <w:rFonts w:hint="eastAsia" w:ascii="Times New Roman" w:hAnsi="Times New Roman" w:eastAsia="宋体" w:cs="Times New Roman"/>
          <w:b/>
          <w:sz w:val="22"/>
          <w:szCs w:val="20"/>
          <w:lang w:val="en-US" w:eastAsia="zh-CN" w:bidi="ar"/>
        </w:rPr>
        <w:t>Proposal 3</w:t>
      </w:r>
      <w:r>
        <w:rPr>
          <w:rFonts w:hint="eastAsia" w:eastAsia="宋体" w:cs="Times New Roman"/>
          <w:b/>
          <w:sz w:val="22"/>
          <w:szCs w:val="20"/>
          <w:lang w:val="en-US" w:eastAsia="zh-CN" w:bidi="ar"/>
        </w:rPr>
        <w:t>: The existing connection failure definition of LTM failure case can be further considered for inter-CU LTM.</w:t>
      </w:r>
    </w:p>
    <w:p>
      <w:pPr>
        <w:spacing w:after="0"/>
        <w:jc w:val="both"/>
        <w:rPr>
          <w:lang w:eastAsia="zh-CN"/>
        </w:rPr>
      </w:pPr>
    </w:p>
    <w:p>
      <w:pPr>
        <w:pStyle w:val="3"/>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rPr>
          <w:rFonts w:hint="eastAsia" w:eastAsia="等线"/>
          <w:b/>
          <w:bCs/>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B</w:t>
      </w:r>
      <w:r>
        <w:rPr>
          <w:rFonts w:hint="eastAsia" w:eastAsia="等线"/>
          <w:b/>
          <w:bCs/>
          <w:sz w:val="22"/>
          <w:szCs w:val="22"/>
          <w:lang w:val="en-US" w:eastAsia="zh-CN"/>
        </w:rPr>
        <w:t>oth failure case and near failure case should be considered for MRO enhancements to inter-CU LTM</w:t>
      </w:r>
      <w:r>
        <w:rPr>
          <w:rFonts w:hint="eastAsia" w:eastAsia="等线"/>
          <w:b/>
          <w:bCs/>
          <w:sz w:val="24"/>
          <w:szCs w:val="24"/>
          <w:lang w:val="en-US" w:eastAsia="zh-CN"/>
        </w:rPr>
        <w:t>.</w:t>
      </w:r>
    </w:p>
    <w:p>
      <w:pPr>
        <w:pStyle w:val="2"/>
        <w:rPr>
          <w:rFonts w:hint="eastAsia"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Rel-19 MRO for LTM scenarios can be considered as baseline for further study on inter-CU LTM failure scenarios.</w:t>
      </w:r>
    </w:p>
    <w:p>
      <w:pPr>
        <w:rPr>
          <w:rFonts w:hint="default" w:ascii="Times New Roman" w:hAnsi="Times New Roman" w:eastAsia="宋体" w:cs="Times New Roman"/>
          <w:b/>
          <w:sz w:val="22"/>
          <w:szCs w:val="20"/>
          <w:lang w:val="en-US" w:eastAsia="zh-CN" w:bidi="ar"/>
        </w:rPr>
      </w:pPr>
      <w:r>
        <w:rPr>
          <w:rFonts w:hint="eastAsia" w:ascii="Times New Roman" w:hAnsi="Times New Roman" w:eastAsia="宋体" w:cs="Times New Roman"/>
          <w:b/>
          <w:sz w:val="22"/>
          <w:szCs w:val="20"/>
          <w:lang w:val="en-US" w:eastAsia="zh-CN" w:bidi="ar"/>
        </w:rPr>
        <w:t>Proposal 3</w:t>
      </w:r>
      <w:r>
        <w:rPr>
          <w:rFonts w:hint="eastAsia" w:eastAsia="宋体" w:cs="Times New Roman"/>
          <w:b/>
          <w:sz w:val="22"/>
          <w:szCs w:val="20"/>
          <w:lang w:val="en-US" w:eastAsia="zh-CN" w:bidi="ar"/>
        </w:rPr>
        <w:t>: The existing connection failure definition of LTM failure case can be further considered for inter-CU LTM.</w:t>
      </w:r>
    </w:p>
    <w:p>
      <w:pPr>
        <w:rPr>
          <w:rFonts w:hint="eastAsia" w:eastAsia="等线"/>
          <w:b/>
          <w:bCs/>
          <w:sz w:val="22"/>
          <w:szCs w:val="22"/>
          <w:lang w:val="en-US" w:eastAsia="zh-CN"/>
        </w:rPr>
      </w:pPr>
      <w:bookmarkStart w:id="4" w:name="_GoBack"/>
      <w:bookmarkEnd w:id="4"/>
    </w:p>
    <w:p>
      <w:pPr>
        <w:spacing w:before="240" w:beforeLines="100" w:after="240"/>
        <w:rPr>
          <w:rFonts w:eastAsia="宋体"/>
          <w:b/>
          <w:lang w:eastAsia="zh-CN"/>
        </w:rPr>
      </w:pPr>
    </w:p>
    <w:p>
      <w:pPr>
        <w:pStyle w:val="3"/>
      </w:pPr>
      <w:r>
        <w:t>4   References</w:t>
      </w:r>
    </w:p>
    <w:p>
      <w:pPr>
        <w:pStyle w:val="73"/>
        <w:widowControl w:val="0"/>
        <w:numPr>
          <w:ilvl w:val="0"/>
          <w:numId w:val="5"/>
        </w:numPr>
        <w:autoSpaceDE w:val="0"/>
        <w:autoSpaceDN w:val="0"/>
        <w:adjustRightInd w:val="0"/>
        <w:spacing w:after="0" w:line="360" w:lineRule="auto"/>
        <w:contextualSpacing w:val="0"/>
        <w:rPr>
          <w:lang w:val="en-US" w:eastAsia="zh-CN"/>
        </w:rPr>
      </w:pPr>
      <w:r>
        <w:rPr>
          <w:lang w:eastAsia="zh-CN"/>
        </w:rPr>
        <w:t>RP-2</w:t>
      </w:r>
      <w:r>
        <w:rPr>
          <w:rFonts w:hint="eastAsia"/>
          <w:lang w:val="en-US" w:eastAsia="zh-CN"/>
        </w:rPr>
        <w:t>3</w:t>
      </w:r>
      <w:r>
        <w:rPr>
          <w:lang w:val="en-US" w:eastAsia="zh-CN"/>
        </w:rPr>
        <w:t xml:space="preserve">4038: </w:t>
      </w:r>
      <w:r>
        <w:rPr>
          <w:rFonts w:hint="eastAsia"/>
          <w:lang w:val="en-US" w:eastAsia="zh-CN"/>
        </w:rPr>
        <w:t>Revised WID: Data collection for SON (Self-Organising Networks)/MDT (Minimization of Drive Tests) in NR Phase 5</w:t>
      </w:r>
      <w:r>
        <w:rPr>
          <w:lang w:val="en-US" w:eastAsia="zh-CN"/>
        </w:rPr>
        <w:t>; TSG RAN Meeting #10</w:t>
      </w:r>
      <w:r>
        <w:rPr>
          <w:rFonts w:hint="eastAsia"/>
          <w:lang w:val="en-US" w:eastAsia="zh-CN"/>
        </w:rPr>
        <w:t>9</w:t>
      </w:r>
      <w:r>
        <w:rPr>
          <w:lang w:val="en-US" w:eastAsia="zh-CN"/>
        </w:rPr>
        <w:t xml:space="preserve">, </w:t>
      </w:r>
      <w:r>
        <w:rPr>
          <w:rFonts w:hint="eastAsia"/>
          <w:lang w:val="en-US" w:eastAsia="zh-CN"/>
        </w:rPr>
        <w:t>Beijing, China</w:t>
      </w:r>
      <w:r>
        <w:rPr>
          <w:lang w:val="en-US" w:eastAsia="zh-CN"/>
        </w:rPr>
        <w:t>,</w:t>
      </w:r>
      <w:r>
        <w:t xml:space="preserve"> </w:t>
      </w:r>
      <w:r>
        <w:rPr>
          <w:rFonts w:hint="eastAsia"/>
          <w:lang w:val="en-US" w:eastAsia="zh-CN"/>
        </w:rPr>
        <w:t>Sep</w:t>
      </w:r>
      <w:r>
        <w:rPr>
          <w:lang w:val="en-US" w:eastAsia="zh-CN"/>
        </w:rPr>
        <w:t xml:space="preserve"> 1</w:t>
      </w:r>
      <w:r>
        <w:rPr>
          <w:rFonts w:hint="eastAsia"/>
          <w:lang w:val="en-US" w:eastAsia="zh-CN"/>
        </w:rPr>
        <w:t>5</w:t>
      </w:r>
      <w:r>
        <w:rPr>
          <w:lang w:val="en-US" w:eastAsia="zh-CN"/>
        </w:rPr>
        <w:t>-1</w:t>
      </w:r>
      <w:r>
        <w:rPr>
          <w:rFonts w:hint="eastAsia"/>
          <w:lang w:val="en-US" w:eastAsia="zh-CN"/>
        </w:rPr>
        <w:t>8</w:t>
      </w:r>
      <w:r>
        <w:rPr>
          <w:lang w:val="en-US" w:eastAsia="zh-CN"/>
        </w:rPr>
        <w:t>, 202</w:t>
      </w:r>
      <w:r>
        <w:rPr>
          <w:rFonts w:hint="eastAsia"/>
          <w:lang w:val="en-US" w:eastAsia="zh-CN"/>
        </w:rPr>
        <w:t>5</w:t>
      </w:r>
    </w:p>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2F4B6D"/>
    <w:rsid w:val="01417008"/>
    <w:rsid w:val="02DB5880"/>
    <w:rsid w:val="033961E4"/>
    <w:rsid w:val="03425F66"/>
    <w:rsid w:val="04C95396"/>
    <w:rsid w:val="059D0A04"/>
    <w:rsid w:val="06034816"/>
    <w:rsid w:val="0747198E"/>
    <w:rsid w:val="079072D0"/>
    <w:rsid w:val="083F3E39"/>
    <w:rsid w:val="08454C77"/>
    <w:rsid w:val="08B72D4B"/>
    <w:rsid w:val="0921460E"/>
    <w:rsid w:val="09A24CDB"/>
    <w:rsid w:val="09E35FBD"/>
    <w:rsid w:val="09F80663"/>
    <w:rsid w:val="0AA048AC"/>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6E3996"/>
    <w:rsid w:val="1CFF51A9"/>
    <w:rsid w:val="1D093E8E"/>
    <w:rsid w:val="1D9D1C14"/>
    <w:rsid w:val="1DEF3CAD"/>
    <w:rsid w:val="1E0E6FDF"/>
    <w:rsid w:val="1E37416A"/>
    <w:rsid w:val="1E7A730A"/>
    <w:rsid w:val="1F457054"/>
    <w:rsid w:val="1F8B2051"/>
    <w:rsid w:val="2044198C"/>
    <w:rsid w:val="206E0E34"/>
    <w:rsid w:val="20762ED5"/>
    <w:rsid w:val="207E4B10"/>
    <w:rsid w:val="20CD4DF2"/>
    <w:rsid w:val="20F90D91"/>
    <w:rsid w:val="2294325D"/>
    <w:rsid w:val="22CB4428"/>
    <w:rsid w:val="230332E7"/>
    <w:rsid w:val="241D724F"/>
    <w:rsid w:val="24BA1A4C"/>
    <w:rsid w:val="2573337B"/>
    <w:rsid w:val="258A1B50"/>
    <w:rsid w:val="26781317"/>
    <w:rsid w:val="27B91DCD"/>
    <w:rsid w:val="28B873D0"/>
    <w:rsid w:val="28DD71F9"/>
    <w:rsid w:val="29B22406"/>
    <w:rsid w:val="2A332049"/>
    <w:rsid w:val="2A8932B0"/>
    <w:rsid w:val="2AC56CA8"/>
    <w:rsid w:val="2B6D7ACB"/>
    <w:rsid w:val="2C523826"/>
    <w:rsid w:val="2C7E592F"/>
    <w:rsid w:val="2D8B7035"/>
    <w:rsid w:val="2FF07BC8"/>
    <w:rsid w:val="3122543A"/>
    <w:rsid w:val="32204723"/>
    <w:rsid w:val="33511F0D"/>
    <w:rsid w:val="335A38EA"/>
    <w:rsid w:val="34233C15"/>
    <w:rsid w:val="35AC3967"/>
    <w:rsid w:val="35E368FD"/>
    <w:rsid w:val="3665586F"/>
    <w:rsid w:val="382B160E"/>
    <w:rsid w:val="39FC7F63"/>
    <w:rsid w:val="3A510DE7"/>
    <w:rsid w:val="3B1C15B4"/>
    <w:rsid w:val="3B7522D1"/>
    <w:rsid w:val="3CC94D80"/>
    <w:rsid w:val="3E04574F"/>
    <w:rsid w:val="3E902592"/>
    <w:rsid w:val="3EBF38CA"/>
    <w:rsid w:val="3EFA6A59"/>
    <w:rsid w:val="3F102102"/>
    <w:rsid w:val="40ED17D5"/>
    <w:rsid w:val="41133AB4"/>
    <w:rsid w:val="41B23B2A"/>
    <w:rsid w:val="425659E6"/>
    <w:rsid w:val="42681DC2"/>
    <w:rsid w:val="429B4810"/>
    <w:rsid w:val="439A14F5"/>
    <w:rsid w:val="43AF1E2E"/>
    <w:rsid w:val="454B01DC"/>
    <w:rsid w:val="454D18FA"/>
    <w:rsid w:val="466F7668"/>
    <w:rsid w:val="46A76650"/>
    <w:rsid w:val="4B2F5149"/>
    <w:rsid w:val="4B4177FD"/>
    <w:rsid w:val="4C6946B6"/>
    <w:rsid w:val="4C7401D0"/>
    <w:rsid w:val="4D077EEE"/>
    <w:rsid w:val="4DF7551A"/>
    <w:rsid w:val="4E631DD7"/>
    <w:rsid w:val="4EE12FB5"/>
    <w:rsid w:val="4EEB36F7"/>
    <w:rsid w:val="4FAE5593"/>
    <w:rsid w:val="506A7F16"/>
    <w:rsid w:val="50791A93"/>
    <w:rsid w:val="51C61026"/>
    <w:rsid w:val="52C32C09"/>
    <w:rsid w:val="53063320"/>
    <w:rsid w:val="55403862"/>
    <w:rsid w:val="56057C64"/>
    <w:rsid w:val="56444AC6"/>
    <w:rsid w:val="567B29ED"/>
    <w:rsid w:val="573F71C2"/>
    <w:rsid w:val="57407B4B"/>
    <w:rsid w:val="57D30DCD"/>
    <w:rsid w:val="57F24B59"/>
    <w:rsid w:val="59D8186C"/>
    <w:rsid w:val="5A713592"/>
    <w:rsid w:val="5AD325FC"/>
    <w:rsid w:val="5C9B2EC8"/>
    <w:rsid w:val="5CBF7B5D"/>
    <w:rsid w:val="5DEB4069"/>
    <w:rsid w:val="5DF47CB1"/>
    <w:rsid w:val="607F29C9"/>
    <w:rsid w:val="614A0049"/>
    <w:rsid w:val="63114608"/>
    <w:rsid w:val="633140F4"/>
    <w:rsid w:val="640D40B4"/>
    <w:rsid w:val="642B6952"/>
    <w:rsid w:val="648E266A"/>
    <w:rsid w:val="649B678A"/>
    <w:rsid w:val="64C322D9"/>
    <w:rsid w:val="6694268C"/>
    <w:rsid w:val="681B58B5"/>
    <w:rsid w:val="68E378EE"/>
    <w:rsid w:val="691A7AFE"/>
    <w:rsid w:val="6A7B5019"/>
    <w:rsid w:val="6BEC00A0"/>
    <w:rsid w:val="6D1F4A0B"/>
    <w:rsid w:val="6D7D559C"/>
    <w:rsid w:val="6E4377B3"/>
    <w:rsid w:val="6E8B01B0"/>
    <w:rsid w:val="6F686D97"/>
    <w:rsid w:val="6FDC338C"/>
    <w:rsid w:val="707B5B04"/>
    <w:rsid w:val="71657AF4"/>
    <w:rsid w:val="7232223C"/>
    <w:rsid w:val="72394C9A"/>
    <w:rsid w:val="74144EAD"/>
    <w:rsid w:val="742B5F4A"/>
    <w:rsid w:val="74BE1A94"/>
    <w:rsid w:val="77097545"/>
    <w:rsid w:val="772A053C"/>
    <w:rsid w:val="77585FE5"/>
    <w:rsid w:val="77C656C3"/>
    <w:rsid w:val="77F178AE"/>
    <w:rsid w:val="7833619E"/>
    <w:rsid w:val="785C0605"/>
    <w:rsid w:val="78870EA7"/>
    <w:rsid w:val="7905736E"/>
    <w:rsid w:val="790836EE"/>
    <w:rsid w:val="791252B1"/>
    <w:rsid w:val="7A5614FA"/>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annotation text"/>
    <w:basedOn w:val="1"/>
    <w:link w:val="88"/>
    <w:qFormat/>
    <w:uiPriority w:val="0"/>
  </w:style>
  <w:style w:type="paragraph" w:styleId="24">
    <w:name w:val="toc 8"/>
    <w:basedOn w:val="22"/>
    <w:next w:val="1"/>
    <w:semiHidden/>
    <w:qFormat/>
    <w:uiPriority w:val="0"/>
    <w:pPr>
      <w:spacing w:before="180"/>
      <w:ind w:left="2693" w:hanging="2693"/>
    </w:pPr>
    <w:rPr>
      <w:b/>
    </w:rPr>
  </w:style>
  <w:style w:type="paragraph" w:styleId="25">
    <w:name w:val="Balloon Text"/>
    <w:basedOn w:val="1"/>
    <w:link w:val="74"/>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annotation subject"/>
    <w:basedOn w:val="23"/>
    <w:next w:val="23"/>
    <w:link w:val="89"/>
    <w:semiHidden/>
    <w:unhideWhenUsed/>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B3"/>
    <w:basedOn w:val="13"/>
    <w:qFormat/>
    <w:uiPriority w:val="0"/>
    <w:pPr>
      <w:ind w:left="1135" w:hanging="284"/>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3"/>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4"/>
    <w:qFormat/>
    <w:uiPriority w:val="0"/>
    <w:pPr>
      <w:ind w:left="851"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7"/>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5"/>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出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3"/>
    <w:link w:val="23"/>
    <w:qFormat/>
    <w:uiPriority w:val="0"/>
    <w:rPr>
      <w:lang w:val="en-GB" w:eastAsia="en-US"/>
    </w:rPr>
  </w:style>
  <w:style w:type="character" w:customStyle="1" w:styleId="89">
    <w:name w:val="批注主题 字符"/>
    <w:basedOn w:val="88"/>
    <w:link w:val="30"/>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4">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91E2603E-40F4-448A-9800-D3537A860EDC}">
  <ds:schemaRefs/>
</ds:datastoreItem>
</file>

<file path=customXml/itemProps5.xml><?xml version="1.0" encoding="utf-8"?>
<ds:datastoreItem xmlns:ds="http://schemas.openxmlformats.org/officeDocument/2006/customXml" ds:itemID="{958C969A-B179-44C9-9E61-F8CF0A81168B}">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author</cp:lastModifiedBy>
  <dcterms:modified xsi:type="dcterms:W3CDTF">2025-10-01T12:53:50Z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